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C3-201081</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29.514</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r>
              <w:rPr>
                <w:rFonts w:hint="eastAsia"/>
                <w:b/>
                <w:noProof/>
                <w:sz w:val="28"/>
              </w:rPr>
              <w:t>0</w:t>
            </w:r>
            <w:r>
              <w:rPr>
                <w:b/>
                <w:noProof/>
                <w:sz w:val="28"/>
              </w:rPr>
              <w:t>174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DNN Clarification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lang w:eastAsia="zh-CN"/>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2020-01-21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DNN is defined as common data type, will be used by several APIs, and it is clarified whether the Dnn data type contains just the DNN Network Identifier, or the Network Identifier plus the Operator Identifier, shall be documented in each API where this data type is used.</w:t>
            </w:r>
          </w:p>
          <w:p>
            <w:pPr>
              <w:pStyle w:val="CRCoverPage"/>
              <w:spacing w:after="0"/>
              <w:ind w:left="100"/>
              <w:rPr>
                <w:lang w:eastAsia="zh-CN"/>
              </w:rPr>
            </w:pPr>
          </w:p>
          <w:p>
            <w:pPr>
              <w:pStyle w:val="CRCoverPage"/>
              <w:spacing w:after="0"/>
              <w:ind w:left="100"/>
              <w:rPr>
                <w:lang w:eastAsia="zh-CN"/>
              </w:rPr>
            </w:pPr>
            <w:r>
              <w:rPr>
                <w:lang w:eastAsia="zh-CN"/>
              </w:rPr>
              <w:t xml:space="preserve">We propose that DNN over N5 can be </w:t>
            </w:r>
            <w:r>
              <w:rPr>
                <w:rFonts w:cs="Arial"/>
                <w:szCs w:val="18"/>
              </w:rPr>
              <w:t xml:space="preserve">a full DNN with both </w:t>
            </w:r>
            <w:r>
              <w:t>the Network Identifier and Operator Identifier, or a DNN with the Network Identifier only. It is consistent with the Rx interface in EPS.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Both NI and OI are included, or only NI is included in the DNN.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rPr>
              <w:t>Unclear encoding definition of DNN may lead to inter-operation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5.6.2.3, 5.6.2.36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change the open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 * * * *</w:t>
      </w:r>
    </w:p>
    <w:p>
      <w:pPr>
        <w:pStyle w:val="Heading4"/>
      </w:pPr>
      <w:bookmarkStart w:id="3" w:name="_Toc28012457"/>
      <w:bookmarkStart w:id="4" w:name="_Toc28012214"/>
      <w:r>
        <w:lastRenderedPageBreak/>
        <w:t>5.6.2.3</w:t>
      </w:r>
      <w:r>
        <w:tab/>
        <w:t>Type AppSessionContextReqData</w:t>
      </w:r>
      <w:bookmarkEnd w:id="3"/>
    </w:p>
    <w:p>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aspId</w:t>
            </w:r>
          </w:p>
        </w:tc>
        <w:tc>
          <w:tcPr>
            <w:tcW w:w="1710" w:type="dxa"/>
            <w:tcBorders>
              <w:top w:val="single" w:sz="4" w:space="0" w:color="auto"/>
              <w:left w:val="single" w:sz="4" w:space="0" w:color="auto"/>
              <w:bottom w:val="single" w:sz="4" w:space="0" w:color="auto"/>
              <w:right w:val="single" w:sz="4" w:space="0" w:color="auto"/>
            </w:tcBorders>
          </w:tcPr>
          <w:p>
            <w:pPr>
              <w:pStyle w:val="TAL"/>
            </w:pPr>
            <w:r>
              <w:t>AspId</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dnn</w:t>
            </w:r>
          </w:p>
        </w:tc>
        <w:tc>
          <w:tcPr>
            <w:tcW w:w="1710" w:type="dxa"/>
            <w:tcBorders>
              <w:top w:val="single" w:sz="4" w:space="0" w:color="auto"/>
              <w:left w:val="single" w:sz="4" w:space="0" w:color="auto"/>
              <w:bottom w:val="single" w:sz="4" w:space="0" w:color="auto"/>
              <w:right w:val="single" w:sz="4" w:space="0" w:color="auto"/>
            </w:tcBorders>
          </w:tcPr>
          <w:p>
            <w:pPr>
              <w:pStyle w:val="TAL"/>
            </w:pPr>
            <w:r>
              <w:t>Dnn</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Data Network Name</w:t>
            </w:r>
            <w:ins w:id="5" w:author="Huawei" w:date="2020-01-21T16:30:00Z">
              <w:r>
                <w:rPr>
                  <w:rFonts w:cs="Arial"/>
                  <w:szCs w:val="18"/>
                </w:rPr>
                <w:t xml:space="preserve">, a full DNN with both </w:t>
              </w:r>
              <w:r>
                <w:t>the Network Identifier and Operator Identifier</w:t>
              </w:r>
            </w:ins>
            <w:ins w:id="6" w:author="Huawei3" w:date="2020-02-04T16:40:00Z">
              <w:r>
                <w:t>, or a DNN with the Network Identifier only</w:t>
              </w:r>
            </w:ins>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Indicates that the created Individual Application Session Context resource relates to an MCPTT session prioritized call.</w:t>
            </w:r>
          </w:p>
          <w:p>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Indicates that the created Individual Application Session Context resource relates to an MCVideo session prioritized call.</w:t>
            </w:r>
          </w:p>
          <w:p>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MCVideo</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mpsId</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mcsId</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Indicates whether the service information is preliminary or final.</w:t>
            </w:r>
          </w:p>
          <w:p>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pPr>
              <w:pStyle w:val="TAL"/>
            </w:pPr>
            <w:r>
              <w:t>Uri</w:t>
            </w:r>
          </w:p>
        </w:tc>
        <w:tc>
          <w:tcPr>
            <w:tcW w:w="360" w:type="dxa"/>
            <w:tcBorders>
              <w:top w:val="single" w:sz="4" w:space="0" w:color="auto"/>
              <w:left w:val="single" w:sz="4" w:space="0" w:color="auto"/>
              <w:bottom w:val="single" w:sz="4" w:space="0" w:color="auto"/>
              <w:right w:val="single" w:sz="4" w:space="0" w:color="auto"/>
            </w:tcBorders>
          </w:tcPr>
          <w:p>
            <w:pPr>
              <w:pStyle w:val="TAC"/>
            </w:pPr>
            <w:r>
              <w:t>M</w:t>
            </w:r>
          </w:p>
        </w:tc>
        <w:tc>
          <w:tcPr>
            <w:tcW w:w="1170" w:type="dxa"/>
            <w:tcBorders>
              <w:top w:val="single" w:sz="4" w:space="0" w:color="auto"/>
              <w:left w:val="single" w:sz="4" w:space="0" w:color="auto"/>
              <w:bottom w:val="single" w:sz="4" w:space="0" w:color="auto"/>
              <w:right w:val="single" w:sz="4" w:space="0" w:color="auto"/>
            </w:tcBorders>
          </w:tcPr>
          <w:p>
            <w:pPr>
              <w:pStyle w:val="TAC"/>
            </w:pPr>
            <w:r>
              <w:t>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pPr>
              <w:pStyle w:val="TAL"/>
            </w:pPr>
            <w:r>
              <w:t>Snssai</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pPr>
              <w:pStyle w:val="TAL"/>
            </w:pPr>
            <w:r>
              <w:t>SponId</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Indication of whether sponsored connectivity is enabled or disabled/not enabled.</w:t>
            </w:r>
          </w:p>
          <w:p>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supi</w:t>
            </w:r>
          </w:p>
        </w:tc>
        <w:tc>
          <w:tcPr>
            <w:tcW w:w="1710" w:type="dxa"/>
            <w:tcBorders>
              <w:top w:val="single" w:sz="4" w:space="0" w:color="auto"/>
              <w:left w:val="single" w:sz="4" w:space="0" w:color="auto"/>
              <w:bottom w:val="single" w:sz="4" w:space="0" w:color="auto"/>
              <w:right w:val="single" w:sz="4" w:space="0" w:color="auto"/>
            </w:tcBorders>
          </w:tcPr>
          <w:p>
            <w:pPr>
              <w:pStyle w:val="TAL"/>
            </w:pPr>
            <w:r>
              <w:t>Supi</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gpsi</w:t>
            </w:r>
          </w:p>
        </w:tc>
        <w:tc>
          <w:tcPr>
            <w:tcW w:w="1710" w:type="dxa"/>
            <w:tcBorders>
              <w:top w:val="single" w:sz="4" w:space="0" w:color="auto"/>
              <w:left w:val="single" w:sz="4" w:space="0" w:color="auto"/>
              <w:bottom w:val="single" w:sz="4" w:space="0" w:color="auto"/>
              <w:right w:val="single" w:sz="4" w:space="0" w:color="auto"/>
            </w:tcBorders>
          </w:tcPr>
          <w:p>
            <w:pPr>
              <w:pStyle w:val="TAL"/>
            </w:pPr>
            <w:r>
              <w:t>Gpsi</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pPr>
              <w:pStyle w:val="TAC"/>
            </w:pPr>
            <w:r>
              <w:t>M</w:t>
            </w:r>
          </w:p>
        </w:tc>
        <w:tc>
          <w:tcPr>
            <w:tcW w:w="1170" w:type="dxa"/>
            <w:tcBorders>
              <w:top w:val="single" w:sz="4" w:space="0" w:color="auto"/>
              <w:left w:val="single" w:sz="4" w:space="0" w:color="auto"/>
              <w:bottom w:val="single" w:sz="4" w:space="0" w:color="auto"/>
              <w:right w:val="single" w:sz="4" w:space="0" w:color="auto"/>
            </w:tcBorders>
          </w:tcPr>
          <w:p>
            <w:pPr>
              <w:pStyle w:val="TAC"/>
            </w:pPr>
            <w:r>
              <w:t>1</w:t>
            </w:r>
          </w:p>
        </w:tc>
        <w:tc>
          <w:tcPr>
            <w:tcW w:w="3330" w:type="dxa"/>
            <w:tcBorders>
              <w:top w:val="single" w:sz="4" w:space="0" w:color="auto"/>
              <w:left w:val="single" w:sz="4" w:space="0" w:color="auto"/>
              <w:bottom w:val="single" w:sz="4" w:space="0" w:color="auto"/>
              <w:right w:val="single" w:sz="4" w:space="0" w:color="auto"/>
            </w:tcBorders>
          </w:tcPr>
          <w:p>
            <w:pPr>
              <w:pStyle w:val="TAL"/>
            </w:pPr>
            <w:r>
              <w:rPr>
                <w:rFonts w:cs="Arial"/>
                <w:szCs w:val="18"/>
                <w:lang w:eastAsia="zh-CN"/>
              </w:rPr>
              <w:t>This IE represents a l</w:t>
            </w:r>
            <w:r>
              <w:t>ist of Supported features used as described in subclause 5.8.</w:t>
            </w:r>
          </w:p>
          <w:p>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ueMac</w:t>
            </w:r>
          </w:p>
        </w:tc>
        <w:tc>
          <w:tcPr>
            <w:tcW w:w="1710" w:type="dxa"/>
            <w:tcBorders>
              <w:top w:val="single" w:sz="4" w:space="0" w:color="auto"/>
              <w:left w:val="single" w:sz="4" w:space="0" w:color="auto"/>
              <w:bottom w:val="single" w:sz="4" w:space="0" w:color="auto"/>
              <w:right w:val="single" w:sz="4" w:space="0" w:color="auto"/>
            </w:tcBorders>
          </w:tcPr>
          <w:p>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pPr>
              <w:pStyle w:val="TAL"/>
            </w:pPr>
            <w:r>
              <w:t>Bytes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pPr>
              <w:pStyle w:val="TAL"/>
            </w:pPr>
            <w:r>
              <w:t>Transports TSN port management information encoded as specified in subclause 9.11.4.27 of 3GPP TS 24.501 [49] starting with octet 2.</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tsnPortManContNwtt</w:t>
            </w:r>
          </w:p>
        </w:tc>
        <w:tc>
          <w:tcPr>
            <w:tcW w:w="1710" w:type="dxa"/>
            <w:tcBorders>
              <w:top w:val="single" w:sz="4" w:space="0" w:color="auto"/>
              <w:left w:val="single" w:sz="4" w:space="0" w:color="auto"/>
              <w:bottom w:val="single" w:sz="4" w:space="0" w:color="auto"/>
              <w:right w:val="single" w:sz="4" w:space="0" w:color="auto"/>
            </w:tcBorders>
          </w:tcPr>
          <w:p>
            <w:pPr>
              <w:pStyle w:val="TAL"/>
            </w:pPr>
            <w:r>
              <w:t>Bytes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pPr>
              <w:pStyle w:val="TAL"/>
            </w:pPr>
            <w:r>
              <w:t>Transports TSN port management information encoded as specified in subclause 9.11.4.27 of 3GPP TS 24.501 [49] starting with octet 2.</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pPr>
              <w:pStyle w:val="TAN"/>
              <w:rPr>
                <w:rFonts w:cs="Arial"/>
                <w:szCs w:val="18"/>
              </w:rPr>
            </w:pPr>
            <w:r>
              <w:t>NOTE:</w:t>
            </w:r>
            <w:r>
              <w:tab/>
              <w:t>Only one of the served UE addressing parameters (the IPv4 address or the IPv6 address or MAC address) shall always be included.</w:t>
            </w:r>
          </w:p>
        </w:tc>
      </w:tr>
    </w:tbl>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4"/>
      </w:pPr>
      <w:bookmarkStart w:id="7" w:name="_Toc28012490"/>
      <w:r>
        <w:lastRenderedPageBreak/>
        <w:t>5.6.2.36</w:t>
      </w:r>
      <w:r>
        <w:tab/>
        <w:t>Type PcscfRestorationRequestData</w:t>
      </w:r>
      <w:bookmarkEnd w:id="7"/>
    </w:p>
    <w:p>
      <w:pPr>
        <w:pStyle w:val="TH"/>
      </w:pPr>
      <w:r>
        <w:t>Table 5.6.2.36-1: Definition of type PcscfRestorationRequestData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dnn</w:t>
            </w:r>
          </w:p>
        </w:tc>
        <w:tc>
          <w:tcPr>
            <w:tcW w:w="1710" w:type="dxa"/>
            <w:tcBorders>
              <w:top w:val="single" w:sz="4" w:space="0" w:color="auto"/>
              <w:left w:val="single" w:sz="4" w:space="0" w:color="auto"/>
              <w:bottom w:val="single" w:sz="4" w:space="0" w:color="auto"/>
              <w:right w:val="single" w:sz="4" w:space="0" w:color="auto"/>
            </w:tcBorders>
          </w:tcPr>
          <w:p>
            <w:pPr>
              <w:pStyle w:val="TAL"/>
            </w:pPr>
            <w:r>
              <w:t>Dnn</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Data Network Name</w:t>
            </w:r>
            <w:ins w:id="8" w:author="Huawei" w:date="2020-01-21T16:30:00Z">
              <w:r>
                <w:rPr>
                  <w:rFonts w:cs="Arial"/>
                  <w:szCs w:val="18"/>
                </w:rPr>
                <w:t xml:space="preserve">, a full DNN with both </w:t>
              </w:r>
              <w:r>
                <w:t>the Network Identifier and Operator Identifier</w:t>
              </w:r>
            </w:ins>
            <w:ins w:id="9" w:author="Huawei3" w:date="2020-02-04T16:40:00Z">
              <w:r>
                <w:t>, or a DNN with the Network Identifier only</w:t>
              </w:r>
            </w:ins>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pPr>
              <w:pStyle w:val="TAL"/>
            </w:pPr>
            <w:r>
              <w:t>Snssai</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supi</w:t>
            </w:r>
          </w:p>
        </w:tc>
        <w:tc>
          <w:tcPr>
            <w:tcW w:w="1710" w:type="dxa"/>
            <w:tcBorders>
              <w:top w:val="single" w:sz="4" w:space="0" w:color="auto"/>
              <w:left w:val="single" w:sz="4" w:space="0" w:color="auto"/>
              <w:bottom w:val="single" w:sz="4" w:space="0" w:color="auto"/>
              <w:right w:val="single" w:sz="4" w:space="0" w:color="auto"/>
            </w:tcBorders>
          </w:tcPr>
          <w:p>
            <w:pPr>
              <w:pStyle w:val="TAL"/>
            </w:pPr>
            <w:r>
              <w:t>Supi</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99" w:type="dxa"/>
            <w:tcBorders>
              <w:top w:val="single" w:sz="4" w:space="0" w:color="auto"/>
              <w:left w:val="single" w:sz="4" w:space="0" w:color="auto"/>
              <w:bottom w:val="single" w:sz="4" w:space="0" w:color="auto"/>
              <w:right w:val="single" w:sz="4" w:space="0" w:color="auto"/>
            </w:tcBorders>
          </w:tcPr>
          <w:p>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pPr>
              <w:pStyle w:val="TAN"/>
              <w:rPr>
                <w:rFonts w:cs="Arial"/>
                <w:szCs w:val="18"/>
              </w:rPr>
            </w:pPr>
            <w:r>
              <w:t>NOTE:</w:t>
            </w:r>
            <w:r>
              <w:tab/>
              <w:t>When present, only one of the served UE addressing parameters (the IPv4 address or the IPv6 address) shall always be included.</w:t>
            </w:r>
          </w:p>
        </w:tc>
      </w:tr>
    </w:tbl>
    <w:p/>
    <w:p/>
    <w:bookmarkEnd w:id="4"/>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link w:val="B1"/>
    <w:locked/>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FChar">
    <w:name w:val="TF Char"/>
    <w:link w:val="TF"/>
    <w:rPr>
      <w:rFonts w:ascii="Arial" w:hAnsi="Arial"/>
      <w:b/>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974B6-5C14-4A91-B6EC-F09C31355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1900-01-01T08:00:00Z</cp:lastPrinted>
  <dcterms:created xsi:type="dcterms:W3CDTF">2020-02-04T08:44:00Z</dcterms:created>
  <dcterms:modified xsi:type="dcterms:W3CDTF">2020-03-06T14:33:00Z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1580790392</vt:lpwstr>
  </property>
  <property fmtid="{D5CDD505-2E9C-101B-9397-08002B2CF9AE}" pid="25" name="_2015_ms_pID_725343">
    <vt:lpwstr>(3)XPKBoqRCJhfDk+i4dWkW9KXwMCFosMqpOAPU3Y12vxg3rOBJkmTaxBMT1/NdJtMl29hcHq2K
vDtu/J7TyA1ydBnLO/eWw+RjRTwQt987uY/CeKdx7mLzNivNdJK8nySzqjARNzq/Qj/MUqyz
0LxXKvuLrRmvCCH6ZB07q2LBBZp5IECvUHtLwONPUTdKhFSK2fVcAogaEcZFw3GD16CQve2J
hn3Y4jwhwpeG3Wri6e</vt:lpwstr>
  </property>
  <property fmtid="{D5CDD505-2E9C-101B-9397-08002B2CF9AE}" pid="26" name="_2015_ms_pID_7253431">
    <vt:lpwstr>PkvrKh2/M2nzNb8K5jFXiESATylM32djXZ+1LCCghRJgo4T1/qCqSC
K1P3HV7Z3vpE3gebjMgT3TJgVxGlF/VY7YRuu+ghPIPTiK8IOe2a2aq9DQja09r8qrZbw10m
s6jU/EmpKNo8sqaO9c0CHhj5UMM+5v1ZmhvbU/YL1SUrFjNfYPJyJeK59e1ltR/QAllEsLyC
vjT06UpNP6p2Sy2HQbg8IeZqiS+zGS8Bypp1</vt:lpwstr>
  </property>
  <property fmtid="{D5CDD505-2E9C-101B-9397-08002B2CF9AE}" pid="27" name="_2015_ms_pID_7253432">
    <vt:lpwstr>m1xGwKFIHkold/2QqG6hPBQ=</vt:lpwstr>
  </property>
</Properties>
</file>